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573E1A">
              <w:rPr>
                <w:rFonts w:ascii="Franklin Gothic Book" w:hAnsi="Franklin Gothic Book" w:cs="Arial"/>
                <w:sz w:val="22"/>
                <w:szCs w:val="22"/>
              </w:rPr>
              <w:t>2</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573E1A">
              <w:rPr>
                <w:rFonts w:ascii="Franklin Gothic Book" w:hAnsi="Franklin Gothic Book" w:cs="Arial"/>
                <w:sz w:val="22"/>
                <w:szCs w:val="22"/>
              </w:rPr>
              <w:t>3</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573E1A">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00573E1A">
              <w:rPr>
                <w:rFonts w:ascii="Franklin Gothic Book" w:hAnsi="Franklin Gothic Book" w:cs="Arial"/>
                <w:color w:val="000000" w:themeColor="text1"/>
                <w:sz w:val="22"/>
                <w:szCs w:val="22"/>
              </w:rPr>
              <w:t>2</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573E1A" w:rsidP="007673D7">
            <w:pPr>
              <w:rPr>
                <w:rFonts w:ascii="Franklin Gothic Book" w:hAnsi="Franklin Gothic Book" w:cs="Arial"/>
                <w:color w:val="000000" w:themeColor="text1"/>
                <w:sz w:val="22"/>
                <w:szCs w:val="22"/>
              </w:rPr>
            </w:pPr>
            <w:r>
              <w:rPr>
                <w:rFonts w:ascii="Franklin Gothic Book" w:hAnsi="Franklin Gothic Book"/>
                <w:sz w:val="22"/>
                <w:szCs w:val="22"/>
              </w:rPr>
              <w:t>June, 2011</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161B4F" w:rsidRPr="008B58F3" w:rsidRDefault="00BE4C7D" w:rsidP="00161B4F">
            <w:pPr>
              <w:rPr>
                <w:rFonts w:ascii="Franklin Gothic Book" w:hAnsi="Franklin Gothic Book"/>
                <w:sz w:val="22"/>
                <w:szCs w:val="22"/>
                <w:lang w:val="en-GB"/>
              </w:rPr>
            </w:pPr>
            <w:r>
              <w:rPr>
                <w:rFonts w:ascii="Franklin Gothic Book" w:hAnsi="Franklin Gothic Book"/>
                <w:sz w:val="22"/>
                <w:szCs w:val="22"/>
                <w:lang w:val="en-GB"/>
              </w:rPr>
              <w:t>Aug.</w:t>
            </w:r>
            <w:r w:rsidR="00161B4F" w:rsidRPr="008B58F3">
              <w:rPr>
                <w:rFonts w:ascii="Franklin Gothic Book" w:hAnsi="Franklin Gothic Book"/>
                <w:sz w:val="22"/>
                <w:szCs w:val="22"/>
                <w:lang w:val="en-GB"/>
              </w:rPr>
              <w:t xml:space="preserve"> 2012</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r w:rsidR="00143B81">
              <w:rPr>
                <w:rFonts w:ascii="Franklin Gothic Book" w:hAnsi="Franklin Gothic Book" w:cs="Arial"/>
                <w:sz w:val="22"/>
                <w:szCs w:val="22"/>
              </w:rPr>
              <w:t>115</w:t>
            </w:r>
            <w:bookmarkStart w:id="0" w:name="_GoBack"/>
            <w:bookmarkEnd w:id="0"/>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F77593">
      <w:pPr>
        <w:tabs>
          <w:tab w:val="num" w:pos="360"/>
          <w:tab w:val="left" w:pos="720"/>
        </w:tabs>
        <w:spacing w:line="48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F77593">
      <w:pPr>
        <w:tabs>
          <w:tab w:val="num" w:pos="360"/>
          <w:tab w:val="left" w:pos="720"/>
        </w:tabs>
        <w:spacing w:line="48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F77593">
      <w:pPr>
        <w:tabs>
          <w:tab w:val="num" w:pos="360"/>
          <w:tab w:val="left" w:pos="720"/>
        </w:tabs>
        <w:spacing w:line="48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F77593">
      <w:pPr>
        <w:pStyle w:val="BodyText2"/>
        <w:numPr>
          <w:ilvl w:val="0"/>
          <w:numId w:val="16"/>
        </w:numPr>
        <w:tabs>
          <w:tab w:val="clear" w:pos="360"/>
          <w:tab w:val="num" w:pos="720"/>
          <w:tab w:val="left" w:pos="1440"/>
        </w:tabs>
        <w:autoSpaceDE w:val="0"/>
        <w:autoSpaceDN w:val="0"/>
        <w:spacing w:after="0" w:line="24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F77593">
      <w:pPr>
        <w:pStyle w:val="BodyText2"/>
        <w:tabs>
          <w:tab w:val="left" w:pos="720"/>
          <w:tab w:val="num" w:pos="1080"/>
          <w:tab w:val="left" w:pos="1440"/>
        </w:tabs>
        <w:autoSpaceDE w:val="0"/>
        <w:autoSpaceDN w:val="0"/>
        <w:spacing w:after="240" w:line="240" w:lineRule="auto"/>
        <w:ind w:left="1181" w:hanging="187"/>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0F343C" w:rsidRPr="00F77593" w:rsidRDefault="007229F5" w:rsidP="003E1528">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BE4C7D">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1B4F"/>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3E1A"/>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4C7D"/>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77593"/>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F872-800A-4246-8E68-6F38DD5F8158}">
  <ds:schemaRefs>
    <ds:schemaRef ds:uri="http://schemas.openxmlformats.org/officeDocument/2006/bibliography"/>
  </ds:schemaRefs>
</ds:datastoreItem>
</file>

<file path=customXml/itemProps2.xml><?xml version="1.0" encoding="utf-8"?>
<ds:datastoreItem xmlns:ds="http://schemas.openxmlformats.org/officeDocument/2006/customXml" ds:itemID="{F1A42740-0465-49B4-8F0F-3AE007553DE3}"/>
</file>

<file path=customXml/itemProps3.xml><?xml version="1.0" encoding="utf-8"?>
<ds:datastoreItem xmlns:ds="http://schemas.openxmlformats.org/officeDocument/2006/customXml" ds:itemID="{9CABE282-CAF1-4519-8941-D89834673DB6}"/>
</file>

<file path=customXml/itemProps4.xml><?xml version="1.0" encoding="utf-8"?>
<ds:datastoreItem xmlns:ds="http://schemas.openxmlformats.org/officeDocument/2006/customXml" ds:itemID="{119DED15-869E-4BB4-9ED4-DD4D1770776B}"/>
</file>

<file path=docProps/app.xml><?xml version="1.0" encoding="utf-8"?>
<Properties xmlns="http://schemas.openxmlformats.org/officeDocument/2006/extended-properties" xmlns:vt="http://schemas.openxmlformats.org/officeDocument/2006/docPropsVTypes">
  <Template>Normal.dotm</Template>
  <TotalTime>4</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randrew</dc:creator>
  <cp:lastModifiedBy>Gina Guidocci</cp:lastModifiedBy>
  <cp:revision>3</cp:revision>
  <cp:lastPrinted>2012-08-16T18:15:00Z</cp:lastPrinted>
  <dcterms:created xsi:type="dcterms:W3CDTF">2012-08-14T18:49:00Z</dcterms:created>
  <dcterms:modified xsi:type="dcterms:W3CDTF">2012-08-16T18:17:00Z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10736600</vt:r8>
  </property>
</Properties>
</file>